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方正小标宋简体" w:eastAsia="方正小标宋简体"/>
          <w:b/>
          <w:sz w:val="44"/>
          <w:szCs w:val="44"/>
        </w:rPr>
      </w:pPr>
      <w:r>
        <w:rPr>
          <w:rFonts w:hint="eastAsia" w:ascii="方正小标宋简体" w:eastAsia="方正小标宋简体"/>
          <w:b/>
          <w:sz w:val="44"/>
          <w:szCs w:val="44"/>
        </w:rPr>
        <w:t>英吉沙县托普鲁克乡2018年庭院经济及庭院改造项目绩效自评报告</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按照《自治区财政厅关于全面落实加强脱贫攻坚期内各级各类扶贫资金管理的意见》，我乡对2018年庭院经济及庭院改造项目进行专项资金绩效自评工作，通过自评工作，确保专项资金支付使用规范、资金使用成效显著，现将自评情况汇报如下：</w:t>
      </w:r>
    </w:p>
    <w:p>
      <w:pPr>
        <w:spacing w:line="570" w:lineRule="exact"/>
        <w:ind w:firstLine="643" w:firstLineChars="200"/>
        <w:rPr>
          <w:rFonts w:ascii="黑体" w:hAnsi="黑体" w:eastAsia="黑体"/>
          <w:b/>
          <w:sz w:val="32"/>
          <w:szCs w:val="32"/>
        </w:rPr>
      </w:pPr>
      <w:r>
        <w:rPr>
          <w:rFonts w:hint="eastAsia" w:ascii="黑体" w:hAnsi="黑体" w:eastAsia="黑体"/>
          <w:b/>
          <w:sz w:val="32"/>
          <w:szCs w:val="32"/>
        </w:rPr>
        <w:t>一、基本情况</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2018年庭院经济及庭院改造项目的主管单位为县扶贫中心，项目日常监管单位为县庭院经济发展专项组，项目实施单位为托普鲁克乡，此项目年度资金总额为</w:t>
      </w:r>
      <w:r>
        <w:rPr>
          <w:rFonts w:ascii="仿宋" w:hAnsi="仿宋" w:eastAsia="仿宋" w:cs="仿宋"/>
          <w:bCs/>
          <w:sz w:val="32"/>
          <w:szCs w:val="32"/>
        </w:rPr>
        <w:t>59.1</w:t>
      </w:r>
      <w:r>
        <w:rPr>
          <w:rFonts w:hint="eastAsia" w:ascii="仿宋" w:hAnsi="仿宋" w:eastAsia="仿宋" w:cs="仿宋"/>
          <w:bCs/>
          <w:sz w:val="32"/>
          <w:szCs w:val="32"/>
        </w:rPr>
        <w:t>万元，其中财政拨款</w:t>
      </w:r>
      <w:r>
        <w:rPr>
          <w:rFonts w:ascii="仿宋" w:hAnsi="仿宋" w:eastAsia="仿宋" w:cs="仿宋"/>
          <w:bCs/>
          <w:sz w:val="32"/>
          <w:szCs w:val="32"/>
        </w:rPr>
        <w:t>59.1</w:t>
      </w:r>
      <w:r>
        <w:rPr>
          <w:rFonts w:hint="eastAsia" w:ascii="仿宋" w:hAnsi="仿宋" w:eastAsia="仿宋" w:cs="仿宋"/>
          <w:bCs/>
          <w:sz w:val="32"/>
          <w:szCs w:val="32"/>
        </w:rPr>
        <w:t>万元，其他资金0万元，庭院项目由三方共同监管实施，确保项目资金做到专款专用，项目资金主要用于庭院经济和庭院改造内容。</w:t>
      </w:r>
    </w:p>
    <w:p>
      <w:pPr>
        <w:spacing w:line="570" w:lineRule="exact"/>
        <w:ind w:firstLine="643" w:firstLineChars="200"/>
        <w:rPr>
          <w:rFonts w:ascii="黑体" w:hAnsi="黑体" w:eastAsia="黑体"/>
          <w:b/>
          <w:sz w:val="32"/>
          <w:szCs w:val="32"/>
        </w:rPr>
      </w:pPr>
      <w:r>
        <w:rPr>
          <w:rFonts w:hint="eastAsia" w:ascii="黑体" w:hAnsi="黑体" w:eastAsia="黑体"/>
          <w:b/>
          <w:sz w:val="32"/>
          <w:szCs w:val="32"/>
        </w:rPr>
        <w:t>二、项目落实情况</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2018年庭院经济及庭院改造项目专项资金</w:t>
      </w:r>
      <w:r>
        <w:rPr>
          <w:rFonts w:ascii="仿宋" w:hAnsi="仿宋" w:eastAsia="仿宋" w:cs="仿宋"/>
          <w:bCs/>
          <w:sz w:val="32"/>
          <w:szCs w:val="32"/>
        </w:rPr>
        <w:t>59.1</w:t>
      </w:r>
      <w:r>
        <w:rPr>
          <w:rFonts w:hint="eastAsia" w:ascii="仿宋" w:hAnsi="仿宋" w:eastAsia="仿宋" w:cs="仿宋"/>
          <w:bCs/>
          <w:sz w:val="32"/>
          <w:szCs w:val="32"/>
        </w:rPr>
        <w:t>万元，根据各村上报的庭院项目计划实施，2018年计划完成率100%。我乡严格按照专项资金的资金管理办法中所规定的项目条件和范围要求，确定资金的使用范围，并严格要求各村必须做到专款专用。</w:t>
      </w:r>
    </w:p>
    <w:p>
      <w:pPr>
        <w:spacing w:line="570" w:lineRule="exact"/>
        <w:ind w:firstLine="643" w:firstLineChars="200"/>
        <w:rPr>
          <w:rFonts w:ascii="黑体" w:hAnsi="黑体" w:eastAsia="黑体"/>
          <w:b/>
          <w:sz w:val="32"/>
          <w:szCs w:val="32"/>
        </w:rPr>
      </w:pPr>
      <w:r>
        <w:rPr>
          <w:rFonts w:hint="eastAsia" w:ascii="黑体" w:hAnsi="黑体" w:eastAsia="黑体"/>
          <w:b/>
          <w:sz w:val="32"/>
          <w:szCs w:val="32"/>
        </w:rPr>
        <w:t>三、绩效自评工作开展情况</w:t>
      </w:r>
    </w:p>
    <w:p>
      <w:pPr>
        <w:spacing w:line="570" w:lineRule="exact"/>
        <w:ind w:firstLine="643" w:firstLineChars="200"/>
        <w:rPr>
          <w:rFonts w:ascii="仿宋" w:hAnsi="仿宋" w:eastAsia="仿宋" w:cs="仿宋"/>
          <w:b/>
          <w:sz w:val="32"/>
          <w:szCs w:val="32"/>
        </w:rPr>
      </w:pPr>
      <w:r>
        <w:rPr>
          <w:rFonts w:hint="eastAsia" w:ascii="仿宋" w:hAnsi="仿宋" w:eastAsia="仿宋" w:cs="仿宋"/>
          <w:b/>
          <w:sz w:val="32"/>
          <w:szCs w:val="32"/>
        </w:rPr>
        <w:t>（一）前期准备</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按照相关要求，针对绩效评估工作进行了部署安排。</w:t>
      </w:r>
    </w:p>
    <w:p>
      <w:pPr>
        <w:spacing w:line="570" w:lineRule="exact"/>
        <w:ind w:firstLine="643" w:firstLineChars="200"/>
        <w:rPr>
          <w:rFonts w:ascii="仿宋" w:hAnsi="仿宋" w:eastAsia="仿宋" w:cs="仿宋"/>
          <w:b/>
          <w:sz w:val="32"/>
          <w:szCs w:val="32"/>
        </w:rPr>
      </w:pPr>
      <w:r>
        <w:rPr>
          <w:rFonts w:hint="eastAsia" w:ascii="仿宋" w:hAnsi="仿宋" w:eastAsia="仿宋" w:cs="仿宋"/>
          <w:b/>
          <w:sz w:val="32"/>
          <w:szCs w:val="32"/>
        </w:rPr>
        <w:t>（二）组织过程</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根据相关规定和要求，对项目的实施程序、资金使用计划、管理运行以及账目的规范等情况进行自查自评，并撰写自评报告上报县财政局。</w:t>
      </w:r>
    </w:p>
    <w:p>
      <w:pPr>
        <w:spacing w:line="570" w:lineRule="exact"/>
        <w:ind w:firstLine="643" w:firstLineChars="200"/>
        <w:rPr>
          <w:rFonts w:ascii="仿宋" w:hAnsi="仿宋" w:eastAsia="仿宋" w:cs="仿宋"/>
          <w:b/>
          <w:sz w:val="32"/>
          <w:szCs w:val="32"/>
        </w:rPr>
      </w:pPr>
      <w:r>
        <w:rPr>
          <w:rFonts w:hint="eastAsia" w:ascii="仿宋" w:hAnsi="仿宋" w:eastAsia="仿宋" w:cs="仿宋"/>
          <w:b/>
          <w:sz w:val="32"/>
          <w:szCs w:val="32"/>
        </w:rPr>
        <w:t>（三）分析评价</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将专项资金的使用支出情况、档案资料的完整性，按照相关要求再次进行自查和梳理，确保资金使用专款专用、资料完整，并撰写绩效自评报告。</w:t>
      </w:r>
    </w:p>
    <w:p>
      <w:pPr>
        <w:spacing w:line="570" w:lineRule="exact"/>
        <w:ind w:firstLine="643" w:firstLineChars="200"/>
        <w:rPr>
          <w:rFonts w:ascii="黑体" w:hAnsi="黑体" w:eastAsia="黑体"/>
          <w:b/>
          <w:sz w:val="32"/>
          <w:szCs w:val="32"/>
        </w:rPr>
      </w:pPr>
      <w:r>
        <w:rPr>
          <w:rFonts w:hint="eastAsia" w:ascii="黑体" w:hAnsi="黑体" w:eastAsia="黑体"/>
          <w:b/>
          <w:sz w:val="32"/>
          <w:szCs w:val="32"/>
        </w:rPr>
        <w:t>四、综合评价结论</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项目科学合理、项目管理规范、项目监管到位、项目已完工率达100%。</w:t>
      </w:r>
    </w:p>
    <w:p>
      <w:pPr>
        <w:spacing w:line="570" w:lineRule="exact"/>
        <w:ind w:firstLine="643" w:firstLineChars="200"/>
        <w:rPr>
          <w:rFonts w:ascii="黑体" w:hAnsi="黑体" w:eastAsia="黑体"/>
          <w:b/>
          <w:sz w:val="32"/>
          <w:szCs w:val="32"/>
        </w:rPr>
      </w:pPr>
      <w:r>
        <w:rPr>
          <w:rFonts w:hint="eastAsia" w:ascii="黑体" w:hAnsi="黑体" w:eastAsia="黑体"/>
          <w:b/>
          <w:sz w:val="32"/>
          <w:szCs w:val="32"/>
        </w:rPr>
        <w:t>五、绩效目标实现情况分析</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庭院项目资金已全部由财政局拨付至各乡乡，共计</w:t>
      </w:r>
      <w:r>
        <w:rPr>
          <w:rFonts w:ascii="仿宋" w:hAnsi="仿宋" w:eastAsia="仿宋" w:cs="仿宋"/>
          <w:bCs/>
          <w:sz w:val="32"/>
          <w:szCs w:val="32"/>
        </w:rPr>
        <w:t>59.1</w:t>
      </w:r>
      <w:r>
        <w:rPr>
          <w:rFonts w:hint="eastAsia" w:ascii="仿宋" w:hAnsi="仿宋" w:eastAsia="仿宋" w:cs="仿宋"/>
          <w:bCs/>
          <w:sz w:val="32"/>
          <w:szCs w:val="32"/>
        </w:rPr>
        <w:t>万元，已发放至农户</w:t>
      </w:r>
      <w:r>
        <w:t xml:space="preserve"> </w:t>
      </w:r>
      <w:r>
        <w:rPr>
          <w:rFonts w:ascii="仿宋" w:hAnsi="仿宋" w:eastAsia="仿宋" w:cs="仿宋"/>
          <w:bCs/>
          <w:sz w:val="32"/>
          <w:szCs w:val="32"/>
        </w:rPr>
        <w:t>59.1</w:t>
      </w:r>
      <w:r>
        <w:rPr>
          <w:rFonts w:hint="eastAsia" w:ascii="仿宋" w:hAnsi="仿宋" w:eastAsia="仿宋" w:cs="仿宋"/>
          <w:bCs/>
          <w:sz w:val="32"/>
          <w:szCs w:val="32"/>
        </w:rPr>
        <w:t>万元，资金拨付率为100%，项目资金拨付至农户的方式由各乡乡自行决定。</w:t>
      </w:r>
    </w:p>
    <w:p>
      <w:pPr>
        <w:spacing w:line="570" w:lineRule="exact"/>
        <w:ind w:firstLine="643" w:firstLineChars="200"/>
        <w:rPr>
          <w:rFonts w:ascii="仿宋" w:hAnsi="仿宋" w:eastAsia="仿宋" w:cs="仿宋"/>
          <w:b/>
          <w:sz w:val="32"/>
          <w:szCs w:val="32"/>
        </w:rPr>
      </w:pPr>
      <w:r>
        <w:rPr>
          <w:rFonts w:hint="eastAsia" w:ascii="仿宋" w:hAnsi="仿宋" w:eastAsia="仿宋" w:cs="仿宋"/>
          <w:b/>
          <w:sz w:val="32"/>
          <w:szCs w:val="32"/>
        </w:rPr>
        <w:t>（二）项目绩效指标完成情况分析</w:t>
      </w:r>
    </w:p>
    <w:p>
      <w:pPr>
        <w:spacing w:line="570" w:lineRule="exact"/>
        <w:ind w:firstLine="643" w:firstLineChars="200"/>
        <w:rPr>
          <w:b/>
          <w:sz w:val="32"/>
          <w:szCs w:val="32"/>
        </w:rPr>
      </w:pPr>
      <w:r>
        <w:rPr>
          <w:rFonts w:hint="eastAsia"/>
          <w:b/>
          <w:sz w:val="32"/>
          <w:szCs w:val="32"/>
        </w:rPr>
        <w:t>1．产出指标完成情况分析。</w:t>
      </w:r>
    </w:p>
    <w:p>
      <w:pPr>
        <w:spacing w:line="570" w:lineRule="exact"/>
        <w:ind w:firstLine="643" w:firstLineChars="200"/>
        <w:rPr>
          <w:rFonts w:ascii="仿宋" w:hAnsi="仿宋" w:eastAsia="仿宋" w:cs="仿宋"/>
          <w:b/>
          <w:sz w:val="32"/>
          <w:szCs w:val="32"/>
        </w:rPr>
      </w:pPr>
      <w:r>
        <w:rPr>
          <w:rFonts w:hint="eastAsia" w:ascii="仿宋" w:hAnsi="仿宋" w:eastAsia="仿宋" w:cs="仿宋"/>
          <w:b/>
          <w:sz w:val="32"/>
          <w:szCs w:val="32"/>
        </w:rPr>
        <w:t>（1）项目完成质量</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按照各村村民申请内容进行项目建设，申请范围主要分庭院经济建设和庭院改造建设两部分，其中庭院经济建设内容主要为菜地、果树、种子、菜苗、葡萄架、苗圃花圃、禽舍、棚圈修缮、土地改良、棚膜、手工业设备等，庭院改造建设内容主要为院墙、硬化、改厨、改厨、化粪池、改水改电、家具等。</w:t>
      </w:r>
    </w:p>
    <w:p>
      <w:pPr>
        <w:spacing w:line="570" w:lineRule="exact"/>
        <w:ind w:firstLine="643" w:firstLineChars="200"/>
        <w:jc w:val="left"/>
        <w:rPr>
          <w:rFonts w:ascii="楷体_GB2312" w:hAnsi="方正楷体_GBK" w:eastAsia="楷体_GB2312" w:cs="方正楷体_GBK"/>
          <w:b/>
          <w:sz w:val="32"/>
          <w:szCs w:val="32"/>
        </w:rPr>
      </w:pPr>
      <w:r>
        <w:rPr>
          <w:rFonts w:hint="eastAsia" w:ascii="楷体_GB2312" w:hAnsi="方正楷体_GBK" w:eastAsia="楷体_GB2312" w:cs="方正楷体_GBK"/>
          <w:b/>
          <w:sz w:val="32"/>
          <w:szCs w:val="32"/>
        </w:rPr>
        <w:t>（二）项目绩效指标完成情况分析</w:t>
      </w:r>
    </w:p>
    <w:p>
      <w:pPr>
        <w:spacing w:line="57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本项目共设置一级指标3个，二级指标9个，三级指标12个，其中已完成三级指标12个，指标完成率为100%。</w:t>
      </w:r>
    </w:p>
    <w:p>
      <w:pPr>
        <w:spacing w:line="570" w:lineRule="exact"/>
        <w:ind w:firstLine="784" w:firstLineChars="244"/>
        <w:jc w:val="left"/>
        <w:rPr>
          <w:rFonts w:ascii="方正仿宋_GBK" w:hAnsi="方正仿宋_GBK" w:eastAsia="仿宋_GB2312" w:cs="方正仿宋_GBK"/>
          <w:b/>
          <w:sz w:val="32"/>
          <w:szCs w:val="32"/>
        </w:rPr>
      </w:pPr>
      <w:r>
        <w:rPr>
          <w:rFonts w:hint="eastAsia" w:ascii="仿宋_GB2312" w:hAnsi="方正仿宋_GBK" w:eastAsia="仿宋_GB2312" w:cs="方正仿宋_GBK"/>
          <w:b/>
          <w:sz w:val="32"/>
          <w:szCs w:val="32"/>
        </w:rPr>
        <w:t>1.产出指标完成情况分析:7个指标值，目前已全部完成，完成程度较好。</w:t>
      </w:r>
    </w:p>
    <w:p>
      <w:pPr>
        <w:spacing w:line="570" w:lineRule="exact"/>
        <w:ind w:firstLine="643" w:firstLineChars="200"/>
        <w:rPr>
          <w:rFonts w:ascii="仿宋_GB2312" w:hAnsi="方正仿宋_GBK" w:eastAsia="仿宋_GB2312" w:cs="方正仿宋_GBK"/>
          <w:bCs/>
          <w:sz w:val="32"/>
          <w:szCs w:val="32"/>
        </w:rPr>
      </w:pPr>
      <w:r>
        <w:rPr>
          <w:rFonts w:hint="eastAsia" w:ascii="仿宋_GB2312" w:hAnsi="方正仿宋_GBK" w:eastAsia="仿宋_GB2312" w:cs="方正仿宋_GBK"/>
          <w:b/>
          <w:sz w:val="32"/>
          <w:szCs w:val="32"/>
        </w:rPr>
        <w:t>2、效益指标完成情况分析</w:t>
      </w:r>
      <w:r>
        <w:rPr>
          <w:rFonts w:hint="eastAsia" w:ascii="仿宋_GB2312" w:hAnsi="方正仿宋_GBK" w:eastAsia="仿宋_GB2312" w:cs="方正仿宋_GBK"/>
          <w:bCs/>
          <w:sz w:val="32"/>
          <w:szCs w:val="32"/>
        </w:rPr>
        <w:t>：发展庭院经济以市场为导向，以效益为中心，以增收为目标，因地制宜发展种植业、特色林果业手工业，产生经济收益。通过对有条件的农户通过庭院改造，发展拱棚、果园、葡萄、苗圃、花圃、手工业，进行土地改良、棚圈修补、禽舍修建等能增加经济收入的项目，力争2020年发展庭院经济贫困户人均经济收入500元。科学规划，合理布局，根据贫困户的院落实际情况，因地制宜，一户一策。全面整治农户房前屋后，合理布局庭院平面、空间，着力推进庭院改造，通过院内土地平整、硬化（不超过建筑面积不超过60㎡，建议使用红砖）、厕所改造、污水处理、厨房改造、优化水电</w:t>
      </w:r>
      <w:bookmarkStart w:id="0" w:name="_GoBack"/>
      <w:bookmarkEnd w:id="0"/>
      <w:r>
        <w:rPr>
          <w:rFonts w:hint="eastAsia" w:ascii="仿宋_GB2312" w:hAnsi="方正仿宋_GBK" w:eastAsia="仿宋_GB2312" w:cs="方正仿宋_GBK"/>
          <w:bCs/>
          <w:sz w:val="32"/>
          <w:szCs w:val="32"/>
        </w:rPr>
        <w:t>，实现扶贫与扶志相结合，激发群众追求美好生活的内在动力。美化庭院，注重实效。引导农户拆除危旧房，配套改造厨房，厕所，合理规范庭院，治理乱堆乱放，确保庭院干净整洁，推进农村新型化建设。</w:t>
      </w:r>
    </w:p>
    <w:p>
      <w:pPr>
        <w:adjustRightInd w:val="0"/>
        <w:snapToGrid w:val="0"/>
        <w:spacing w:line="570" w:lineRule="exact"/>
        <w:ind w:firstLine="643" w:firstLineChars="200"/>
        <w:outlineLvl w:val="0"/>
        <w:rPr>
          <w:rFonts w:ascii="仿宋_GB2312" w:hAnsi="仿宋" w:eastAsia="仿宋_GB2312" w:cs="仿宋"/>
          <w:sz w:val="32"/>
          <w:szCs w:val="32"/>
        </w:rPr>
      </w:pPr>
      <w:r>
        <w:rPr>
          <w:rFonts w:hint="eastAsia" w:ascii="仿宋_GB2312" w:hAnsi="方正仿宋_GBK" w:eastAsia="仿宋_GB2312" w:cs="方正仿宋_GBK"/>
          <w:b/>
          <w:sz w:val="32"/>
          <w:szCs w:val="32"/>
        </w:rPr>
        <w:t>3、满意度指标完成情况分析</w:t>
      </w:r>
      <w:r>
        <w:rPr>
          <w:rFonts w:hint="eastAsia" w:ascii="仿宋_GB2312" w:hAnsi="仿宋" w:eastAsia="仿宋_GB2312" w:cs="仿宋"/>
          <w:sz w:val="32"/>
          <w:szCs w:val="32"/>
        </w:rPr>
        <w:t>：满意度达到90%以上</w:t>
      </w:r>
    </w:p>
    <w:p>
      <w:pPr>
        <w:adjustRightInd w:val="0"/>
        <w:snapToGrid w:val="0"/>
        <w:spacing w:line="570" w:lineRule="exact"/>
        <w:ind w:firstLine="627" w:firstLineChars="200"/>
        <w:outlineLvl w:val="0"/>
        <w:rPr>
          <w:rFonts w:ascii="楷体_GB2312" w:hAnsi="楷体" w:eastAsia="楷体_GB2312"/>
          <w:b/>
          <w:spacing w:val="-4"/>
          <w:sz w:val="32"/>
          <w:szCs w:val="32"/>
        </w:rPr>
      </w:pPr>
      <w:r>
        <w:rPr>
          <w:rFonts w:hint="eastAsia" w:ascii="楷体_GB2312" w:hAnsi="楷体" w:eastAsia="楷体_GB2312"/>
          <w:b/>
          <w:spacing w:val="-4"/>
          <w:sz w:val="32"/>
          <w:szCs w:val="32"/>
        </w:rPr>
        <w:t>(三）项目绩效自评及评价结果</w:t>
      </w:r>
    </w:p>
    <w:p>
      <w:pPr>
        <w:adjustRightInd w:val="0"/>
        <w:snapToGrid w:val="0"/>
        <w:spacing w:line="570" w:lineRule="exact"/>
        <w:ind w:firstLine="640" w:firstLineChars="200"/>
        <w:rPr>
          <w:rFonts w:ascii="楷体_GB2312" w:hAnsi="楷体" w:eastAsia="楷体_GB2312"/>
          <w:b/>
          <w:spacing w:val="-4"/>
          <w:sz w:val="32"/>
          <w:szCs w:val="32"/>
        </w:rPr>
      </w:pPr>
      <w:r>
        <w:rPr>
          <w:rFonts w:hint="eastAsia" w:ascii="仿宋_GB2312" w:hAnsi="仿宋_GB2312" w:eastAsia="仿宋_GB2312" w:cs="仿宋_GB2312"/>
          <w:color w:val="000000"/>
          <w:sz w:val="32"/>
          <w:szCs w:val="32"/>
        </w:rPr>
        <w:t>本项目预算资金</w:t>
      </w:r>
      <w:r>
        <w:rPr>
          <w:rFonts w:ascii="仿宋_GB2312" w:hAnsi="仿宋_GB2312" w:eastAsia="仿宋_GB2312" w:cs="仿宋_GB2312"/>
          <w:color w:val="000000"/>
          <w:sz w:val="32"/>
          <w:szCs w:val="32"/>
        </w:rPr>
        <w:t>59.1</w:t>
      </w:r>
      <w:r>
        <w:rPr>
          <w:rFonts w:hint="eastAsia" w:ascii="仿宋_GB2312" w:hAnsi="仿宋_GB2312" w:eastAsia="仿宋_GB2312" w:cs="仿宋_GB2312"/>
          <w:color w:val="000000"/>
          <w:sz w:val="32"/>
          <w:szCs w:val="32"/>
        </w:rPr>
        <w:t>万元，执行率100%，得分10分；</w:t>
      </w:r>
      <w:r>
        <w:rPr>
          <w:rFonts w:hint="eastAsia" w:ascii="仿宋_GB2312" w:hAnsi="仿宋_GB2312" w:eastAsia="仿宋_GB2312" w:cs="仿宋_GB2312"/>
          <w:bCs/>
          <w:color w:val="000000"/>
          <w:sz w:val="32"/>
          <w:szCs w:val="32"/>
        </w:rPr>
        <w:t>产出指标全部完成，得分47分；效益指标完成较好，得分25分；满意度指标达到90%以上，得分8分；</w:t>
      </w:r>
      <w:r>
        <w:rPr>
          <w:rFonts w:hint="eastAsia" w:ascii="仿宋_GB2312" w:hAnsi="仿宋_GB2312" w:eastAsia="仿宋_GB2312" w:cs="仿宋_GB2312"/>
          <w:color w:val="000000"/>
          <w:sz w:val="32"/>
          <w:szCs w:val="32"/>
        </w:rPr>
        <w:t>本次自评总分90分，总体评价为“优”。</w:t>
      </w:r>
    </w:p>
    <w:p>
      <w:pPr>
        <w:spacing w:line="570" w:lineRule="exact"/>
        <w:ind w:left="142" w:firstLine="640" w:firstLineChars="200"/>
        <w:rPr>
          <w:rFonts w:ascii="黑体" w:hAnsi="黑体" w:eastAsia="黑体" w:cs="黑体"/>
          <w:bCs/>
          <w:sz w:val="32"/>
          <w:szCs w:val="32"/>
        </w:rPr>
      </w:pPr>
      <w:r>
        <w:rPr>
          <w:rFonts w:hint="eastAsia" w:ascii="黑体" w:hAnsi="黑体" w:eastAsia="黑体" w:cs="黑体"/>
          <w:bCs/>
          <w:sz w:val="32"/>
          <w:szCs w:val="32"/>
        </w:rPr>
        <w:t>五、存在问题及建议</w:t>
      </w:r>
    </w:p>
    <w:p>
      <w:pPr>
        <w:spacing w:line="570" w:lineRule="exact"/>
        <w:ind w:firstLine="640" w:firstLineChars="200"/>
        <w:jc w:val="left"/>
        <w:rPr>
          <w:rFonts w:ascii="仿宋_GB2312" w:hAnsi="方正仿宋_GBK" w:eastAsia="仿宋_GB2312" w:cs="方正仿宋_GBK"/>
          <w:bCs/>
          <w:sz w:val="32"/>
          <w:szCs w:val="32"/>
        </w:rPr>
      </w:pPr>
      <w:r>
        <w:rPr>
          <w:rFonts w:hint="eastAsia" w:ascii="仿宋_GB2312" w:hAnsi="方正仿宋_GBK" w:eastAsia="仿宋_GB2312" w:cs="方正仿宋_GBK"/>
          <w:bCs/>
          <w:sz w:val="32"/>
          <w:szCs w:val="32"/>
        </w:rPr>
        <w:t>（一）存在的问题</w:t>
      </w:r>
    </w:p>
    <w:p>
      <w:pPr>
        <w:spacing w:line="570" w:lineRule="exact"/>
        <w:ind w:firstLine="640" w:firstLineChars="200"/>
        <w:jc w:val="left"/>
        <w:rPr>
          <w:rFonts w:ascii="仿宋" w:hAnsi="仿宋" w:eastAsia="仿宋"/>
          <w:spacing w:val="-6"/>
          <w:sz w:val="32"/>
          <w:szCs w:val="32"/>
        </w:rPr>
      </w:pPr>
      <w:r>
        <w:rPr>
          <w:rFonts w:hint="eastAsia" w:ascii="仿宋_GB2312" w:hAnsi="方正仿宋_GBK" w:eastAsia="仿宋_GB2312" w:cs="方正仿宋_GBK"/>
          <w:bCs/>
          <w:sz w:val="32"/>
          <w:szCs w:val="32"/>
        </w:rPr>
        <w:t>部分乡乡重视不够，只安排，没有人抓落实</w:t>
      </w:r>
    </w:p>
    <w:p>
      <w:pPr>
        <w:spacing w:line="570" w:lineRule="exact"/>
        <w:ind w:firstLine="616" w:firstLineChars="200"/>
        <w:rPr>
          <w:rFonts w:ascii="黑体" w:hAnsi="黑体" w:eastAsia="黑体" w:cs="方正黑体_GBK"/>
          <w:spacing w:val="-6"/>
          <w:sz w:val="32"/>
          <w:szCs w:val="32"/>
        </w:rPr>
      </w:pPr>
      <w:r>
        <w:rPr>
          <w:rFonts w:hint="eastAsia" w:ascii="黑体" w:hAnsi="黑体" w:eastAsia="黑体" w:cs="方正黑体_GBK"/>
          <w:spacing w:val="-6"/>
          <w:sz w:val="32"/>
          <w:szCs w:val="32"/>
        </w:rPr>
        <w:t>（</w:t>
      </w:r>
      <w:r>
        <w:rPr>
          <w:rFonts w:hint="eastAsia" w:ascii="仿宋_GB2312" w:hAnsi="方正仿宋_GBK" w:eastAsia="仿宋_GB2312" w:cs="方正仿宋_GBK"/>
          <w:bCs/>
          <w:sz w:val="32"/>
          <w:szCs w:val="32"/>
        </w:rPr>
        <w:t>二）意见建议</w:t>
      </w:r>
    </w:p>
    <w:p>
      <w:pPr>
        <w:spacing w:line="570" w:lineRule="exact"/>
        <w:ind w:firstLine="640" w:firstLineChars="200"/>
        <w:jc w:val="left"/>
        <w:rPr>
          <w:rFonts w:ascii="仿宋_GB2312" w:hAnsi="方正仿宋_GBK" w:eastAsia="仿宋_GB2312" w:cs="方正仿宋_GBK"/>
          <w:bCs/>
          <w:sz w:val="32"/>
          <w:szCs w:val="32"/>
        </w:rPr>
      </w:pPr>
      <w:r>
        <w:rPr>
          <w:rFonts w:hint="eastAsia" w:ascii="仿宋_GB2312" w:hAnsi="方正仿宋_GBK" w:eastAsia="仿宋_GB2312" w:cs="方正仿宋_GBK"/>
          <w:bCs/>
          <w:sz w:val="32"/>
          <w:szCs w:val="32"/>
        </w:rPr>
        <w:t>加强管理，指导合作社建立台账、定期公示、分红，完善运行机制，规范运行，确保项目资金效益分配合理、助农增收。</w:t>
      </w:r>
    </w:p>
    <w:p>
      <w:pPr>
        <w:adjustRightInd w:val="0"/>
        <w:snapToGrid w:val="0"/>
        <w:spacing w:line="570" w:lineRule="exact"/>
        <w:ind w:firstLine="624" w:firstLineChars="200"/>
        <w:outlineLvl w:val="0"/>
        <w:rPr>
          <w:rFonts w:ascii="黑体" w:hAnsi="黑体" w:eastAsia="黑体"/>
          <w:bCs/>
          <w:spacing w:val="-4"/>
          <w:sz w:val="32"/>
          <w:szCs w:val="32"/>
        </w:rPr>
      </w:pPr>
      <w:r>
        <w:rPr>
          <w:rStyle w:val="6"/>
          <w:rFonts w:hint="eastAsia" w:ascii="黑体" w:hAnsi="黑体" w:eastAsia="黑体"/>
          <w:b w:val="0"/>
          <w:spacing w:val="-4"/>
          <w:sz w:val="32"/>
          <w:szCs w:val="32"/>
        </w:rPr>
        <w:t>六、项目评价工作情况</w:t>
      </w:r>
    </w:p>
    <w:p>
      <w:pPr>
        <w:adjustRightInd w:val="0"/>
        <w:snapToGrid w:val="0"/>
        <w:spacing w:line="570" w:lineRule="exact"/>
        <w:ind w:firstLine="624" w:firstLineChars="200"/>
        <w:rPr>
          <w:rFonts w:ascii="仿宋" w:hAnsi="仿宋" w:eastAsia="仿宋"/>
          <w:spacing w:val="-4"/>
          <w:sz w:val="32"/>
          <w:szCs w:val="32"/>
        </w:rPr>
      </w:pPr>
      <w:r>
        <w:rPr>
          <w:rFonts w:hint="eastAsia" w:ascii="仿宋_GB2312" w:hAnsi="仿宋" w:eastAsia="仿宋_GB2312"/>
          <w:bCs/>
          <w:spacing w:val="-4"/>
          <w:sz w:val="32"/>
          <w:szCs w:val="32"/>
        </w:rPr>
        <w:t>本次评价通过文件研读、实地调研、数据分析等方式，全面了解县委组织部村级便民超市项目资金的使用效率和效果，项目管理过程是否规范，是否完成了预期绩效目标等。同时，通过开展自我评价来总结经验和教训，为英吉沙县基建类项目今后的开展提供参考建议。</w:t>
      </w:r>
    </w:p>
    <w:p>
      <w:pPr>
        <w:adjustRightInd w:val="0"/>
        <w:snapToGrid w:val="0"/>
        <w:spacing w:line="570" w:lineRule="exact"/>
        <w:ind w:firstLine="624" w:firstLineChars="200"/>
        <w:outlineLvl w:val="0"/>
        <w:rPr>
          <w:rStyle w:val="6"/>
          <w:rFonts w:ascii="黑体" w:hAnsi="黑体" w:eastAsia="黑体"/>
          <w:b w:val="0"/>
          <w:spacing w:val="-4"/>
          <w:sz w:val="32"/>
          <w:szCs w:val="32"/>
        </w:rPr>
      </w:pPr>
      <w:r>
        <w:rPr>
          <w:rStyle w:val="6"/>
          <w:rFonts w:hint="eastAsia" w:ascii="黑体" w:hAnsi="黑体" w:eastAsia="黑体"/>
          <w:b w:val="0"/>
          <w:spacing w:val="-4"/>
          <w:sz w:val="32"/>
          <w:szCs w:val="32"/>
        </w:rPr>
        <w:t>七、附表</w:t>
      </w:r>
    </w:p>
    <w:p>
      <w:pPr>
        <w:adjustRightInd w:val="0"/>
        <w:snapToGrid w:val="0"/>
        <w:spacing w:line="570" w:lineRule="exact"/>
        <w:ind w:firstLine="640" w:firstLineChars="200"/>
        <w:rPr>
          <w:rFonts w:ascii="仿宋_GB2312" w:eastAsia="仿宋_GB2312"/>
          <w:sz w:val="32"/>
          <w:szCs w:val="32"/>
        </w:rPr>
      </w:pPr>
      <w:r>
        <w:rPr>
          <w:rFonts w:hint="eastAsia" w:ascii="仿宋_GB2312" w:eastAsia="仿宋_GB2312"/>
          <w:sz w:val="32"/>
          <w:szCs w:val="32"/>
        </w:rPr>
        <w:t>《项目支出绩效目标自评表》</w:t>
      </w:r>
    </w:p>
    <w:p>
      <w:pPr>
        <w:spacing w:line="570" w:lineRule="exact"/>
        <w:ind w:firstLine="640"/>
        <w:rPr>
          <w:rFonts w:ascii="仿宋" w:hAnsi="仿宋" w:eastAsia="仿宋"/>
          <w:spacing w:val="-6"/>
          <w:sz w:val="32"/>
          <w:szCs w:val="32"/>
        </w:rPr>
      </w:pPr>
    </w:p>
    <w:p>
      <w:pPr>
        <w:spacing w:line="570" w:lineRule="exact"/>
        <w:rPr>
          <w:rFonts w:ascii="仿宋" w:hAnsi="仿宋" w:eastAsia="仿宋"/>
          <w:spacing w:val="-6"/>
          <w:sz w:val="32"/>
          <w:szCs w:val="32"/>
        </w:rPr>
      </w:pPr>
    </w:p>
    <w:p>
      <w:pPr>
        <w:spacing w:line="570" w:lineRule="exact"/>
        <w:ind w:firstLine="640"/>
        <w:rPr>
          <w:rFonts w:ascii="仿宋" w:hAnsi="仿宋" w:eastAsia="仿宋"/>
          <w:spacing w:val="-6"/>
          <w:sz w:val="32"/>
          <w:szCs w:val="32"/>
        </w:rPr>
      </w:pPr>
    </w:p>
    <w:p>
      <w:pPr>
        <w:spacing w:line="570" w:lineRule="exact"/>
        <w:ind w:firstLine="640" w:firstLineChars="200"/>
        <w:rPr>
          <w:rFonts w:ascii="仿宋" w:hAnsi="仿宋" w:eastAsia="仿宋" w:cs="仿宋"/>
          <w:bCs/>
          <w:sz w:val="32"/>
          <w:szCs w:val="32"/>
        </w:rPr>
      </w:pPr>
    </w:p>
    <w:p>
      <w:pPr>
        <w:adjustRightInd w:val="0"/>
        <w:snapToGrid w:val="0"/>
        <w:spacing w:line="570" w:lineRule="exact"/>
        <w:ind w:firstLine="624" w:firstLineChars="200"/>
        <w:jc w:val="right"/>
        <w:rPr>
          <w:rFonts w:ascii="仿宋_GB2312" w:hAnsi="仿宋" w:eastAsia="仿宋_GB2312"/>
          <w:bCs/>
          <w:spacing w:val="-4"/>
          <w:sz w:val="32"/>
          <w:szCs w:val="32"/>
        </w:rPr>
      </w:pPr>
      <w:r>
        <w:rPr>
          <w:rFonts w:hint="eastAsia" w:ascii="仿宋_GB2312" w:hAnsi="仿宋" w:eastAsia="仿宋_GB2312"/>
          <w:bCs/>
          <w:spacing w:val="-4"/>
          <w:sz w:val="32"/>
          <w:szCs w:val="32"/>
        </w:rPr>
        <w:t>英吉沙县托普鲁克乡人民政府</w:t>
      </w:r>
    </w:p>
    <w:p>
      <w:pPr>
        <w:adjustRightInd w:val="0"/>
        <w:snapToGrid w:val="0"/>
        <w:spacing w:line="570" w:lineRule="exact"/>
        <w:ind w:right="312" w:firstLine="624" w:firstLineChars="200"/>
        <w:jc w:val="right"/>
        <w:rPr>
          <w:rFonts w:ascii="仿宋_GB2312" w:hAnsi="仿宋" w:eastAsia="仿宋_GB2312"/>
          <w:bCs/>
          <w:spacing w:val="-4"/>
          <w:sz w:val="32"/>
          <w:szCs w:val="32"/>
        </w:rPr>
      </w:pPr>
      <w:r>
        <w:rPr>
          <w:rFonts w:hint="eastAsia" w:ascii="仿宋_GB2312" w:hAnsi="仿宋" w:eastAsia="仿宋_GB2312"/>
          <w:bCs/>
          <w:spacing w:val="-4"/>
          <w:sz w:val="32"/>
          <w:szCs w:val="32"/>
        </w:rPr>
        <w:t>2018年12月28日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方正楷体_GBK">
    <w:altName w:val="微软雅黑"/>
    <w:panose1 w:val="00000000000000000000"/>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altName w:val="微软雅黑"/>
    <w:panose1 w:val="00000000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黑体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6251B58"/>
    <w:rsid w:val="00190EBA"/>
    <w:rsid w:val="001D5835"/>
    <w:rsid w:val="00254628"/>
    <w:rsid w:val="003644E1"/>
    <w:rsid w:val="005368E9"/>
    <w:rsid w:val="00675772"/>
    <w:rsid w:val="007536FF"/>
    <w:rsid w:val="007665C6"/>
    <w:rsid w:val="007915B1"/>
    <w:rsid w:val="007E2121"/>
    <w:rsid w:val="008A06C5"/>
    <w:rsid w:val="0094396E"/>
    <w:rsid w:val="00957707"/>
    <w:rsid w:val="00A70082"/>
    <w:rsid w:val="00C377A8"/>
    <w:rsid w:val="00C54ECD"/>
    <w:rsid w:val="00C873CE"/>
    <w:rsid w:val="00D1336C"/>
    <w:rsid w:val="00EE6E5A"/>
    <w:rsid w:val="00F70BA7"/>
    <w:rsid w:val="00FF1E89"/>
    <w:rsid w:val="06251B58"/>
    <w:rsid w:val="14370EFC"/>
    <w:rsid w:val="14AB5C91"/>
    <w:rsid w:val="171645F5"/>
    <w:rsid w:val="31173266"/>
    <w:rsid w:val="354B3C7E"/>
    <w:rsid w:val="390C13BB"/>
    <w:rsid w:val="3F912C40"/>
    <w:rsid w:val="468A0C5C"/>
    <w:rsid w:val="4D1A757C"/>
    <w:rsid w:val="4F2E1180"/>
    <w:rsid w:val="52706393"/>
    <w:rsid w:val="581A72E2"/>
    <w:rsid w:val="63EA0F4B"/>
    <w:rsid w:val="6BC55905"/>
    <w:rsid w:val="6D535020"/>
    <w:rsid w:val="7C8639C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Char"/>
    <w:basedOn w:val="5"/>
    <w:link w:val="3"/>
    <w:qFormat/>
    <w:uiPriority w:val="0"/>
    <w:rPr>
      <w:rFonts w:asciiTheme="minorHAnsi" w:hAnsiTheme="minorHAnsi" w:eastAsiaTheme="minorEastAsia" w:cstheme="minorBidi"/>
      <w:kern w:val="2"/>
      <w:sz w:val="18"/>
      <w:szCs w:val="18"/>
    </w:rPr>
  </w:style>
  <w:style w:type="character" w:customStyle="1" w:styleId="8">
    <w:name w:val="页脚 Char"/>
    <w:basedOn w:val="5"/>
    <w:link w:val="2"/>
    <w:qFormat/>
    <w:uiPriority w:val="0"/>
    <w:rPr>
      <w:rFonts w:asciiTheme="minorHAnsi" w:hAnsiTheme="minorHAnsi" w:eastAsiaTheme="minorEastAsia" w:cstheme="minorBidi"/>
      <w:kern w:val="2"/>
      <w:sz w:val="18"/>
      <w:szCs w:val="18"/>
    </w:rPr>
  </w:style>
  <w:style w:type="paragraph" w:styleId="9">
    <w:name w:val="List Paragraph"/>
    <w:basedOn w:val="1"/>
    <w:unhideWhenUsed/>
    <w:qFormat/>
    <w:uiPriority w:val="99"/>
    <w:pPr>
      <w:ind w:firstLine="420" w:firstLineChars="200"/>
    </w:pPr>
  </w:style>
  <w:style w:type="paragraph" w:customStyle="1" w:styleId="10">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Company>微软中国</Company>
  <Pages>4</Pages>
  <Words>272</Words>
  <Characters>1554</Characters>
  <Lines>12</Lines>
  <Paragraphs>3</Paragraphs>
  <TotalTime>23</TotalTime>
  <ScaleCrop>false</ScaleCrop>
  <LinksUpToDate>false</LinksUpToDate>
  <CharactersWithSpaces>1823</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2018-11-05T06:39:00Z</dcterms:created>
  <dc:creator>Administrator</dc:creator>
  <cp:lastModifiedBy>Administrator</cp:lastModifiedBy>
  <cp:lastPrinted>2019-04-11T14:41:00Z</cp:lastPrinted>
  <dcterms:modified xsi:type="dcterms:W3CDTF">2019-09-19T11:02:45Z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